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C4" w:rsidRPr="008E7EF8" w:rsidRDefault="008E7EF8" w:rsidP="008E7EF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E7EF8">
        <w:rPr>
          <w:rFonts w:ascii="Times New Roman" w:hAnsi="Times New Roman" w:cs="Times New Roman"/>
          <w:b/>
          <w:sz w:val="28"/>
          <w:szCs w:val="26"/>
        </w:rPr>
        <w:t>МУНИЦИПАЛЬНОЕ БЮДЖЕТНОЕ ДОШКОЛЬНОЕ ОБРАЗОВАТЕЛЬНОЕ УЧРЕЖДЕНИЕ ДЕТСКИЙ САД №51</w:t>
      </w:r>
    </w:p>
    <w:p w:rsidR="007761C4" w:rsidRPr="008E7EF8" w:rsidRDefault="007761C4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5"/>
        <w:gridCol w:w="5408"/>
      </w:tblGrid>
      <w:tr w:rsidR="007761C4" w:rsidRPr="008E7EF8" w:rsidTr="007761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1C4" w:rsidRPr="008E7EF8" w:rsidRDefault="007761C4" w:rsidP="008E7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1C4" w:rsidRPr="008E7EF8" w:rsidRDefault="007761C4" w:rsidP="008E7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7761C4" w:rsidRPr="008E7EF8" w:rsidTr="007761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1C4" w:rsidRPr="008E7EF8" w:rsidRDefault="007761C4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Общим собранием 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1C4" w:rsidRPr="008E7EF8" w:rsidRDefault="00A80C94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7761C4"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="008E7EF8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="007761C4"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AD9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</w:t>
            </w:r>
            <w:r w:rsidR="007761C4"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A0AD9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8E7EF8" w:rsidRPr="008E7EF8" w:rsidTr="005035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7EF8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="00FA0AD9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етский сад №</w:t>
            </w:r>
            <w:r w:rsidR="00FA0AD9">
              <w:rPr>
                <w:rFonts w:ascii="Times New Roman" w:hAnsi="Times New Roman" w:cs="Times New Roman"/>
                <w:sz w:val="26"/>
                <w:szCs w:val="26"/>
              </w:rPr>
              <w:t xml:space="preserve">12 с. </w:t>
            </w:r>
            <w:proofErr w:type="spellStart"/>
            <w:r w:rsidR="00FA0AD9">
              <w:rPr>
                <w:rFonts w:ascii="Times New Roman" w:hAnsi="Times New Roman" w:cs="Times New Roman"/>
                <w:sz w:val="26"/>
                <w:szCs w:val="26"/>
              </w:rPr>
              <w:t>Ногир</w:t>
            </w:r>
            <w:proofErr w:type="spellEnd"/>
            <w:r w:rsidR="00FA0A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7EF8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roofErr w:type="spellStart"/>
            <w:r w:rsidR="00FA0AD9">
              <w:rPr>
                <w:rFonts w:ascii="Times New Roman" w:hAnsi="Times New Roman" w:cs="Times New Roman"/>
                <w:sz w:val="26"/>
                <w:szCs w:val="26"/>
              </w:rPr>
              <w:t>Цховребова</w:t>
            </w:r>
            <w:proofErr w:type="spellEnd"/>
            <w:r w:rsidR="00FA0AD9">
              <w:rPr>
                <w:rFonts w:ascii="Times New Roman" w:hAnsi="Times New Roman" w:cs="Times New Roman"/>
                <w:sz w:val="26"/>
                <w:szCs w:val="26"/>
              </w:rPr>
              <w:t xml:space="preserve"> Д.Г.</w:t>
            </w:r>
          </w:p>
        </w:tc>
      </w:tr>
      <w:tr w:rsidR="007761C4" w:rsidRPr="008E7EF8" w:rsidTr="007761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1C4" w:rsidRPr="008E7EF8" w:rsidRDefault="007761C4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(протокол от</w:t>
            </w:r>
            <w:r w:rsidR="00A80C94"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AD9">
              <w:rPr>
                <w:rFonts w:ascii="Times New Roman" w:hAnsi="Times New Roman" w:cs="Times New Roman"/>
                <w:sz w:val="26"/>
                <w:szCs w:val="26"/>
              </w:rPr>
              <w:t>25.08.2023г.</w:t>
            </w:r>
            <w:r w:rsidR="00A80C94"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80C94"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A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1C4" w:rsidRPr="008E7EF8" w:rsidRDefault="00FA0AD9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№43</w:t>
            </w:r>
            <w:r w:rsidR="00A80C94"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25.08.</w:t>
            </w:r>
            <w:r w:rsidR="00A80C94" w:rsidRPr="008E7EF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3г.</w:t>
            </w:r>
          </w:p>
        </w:tc>
      </w:tr>
    </w:tbl>
    <w:p w:rsidR="007761C4" w:rsidRPr="008E7EF8" w:rsidRDefault="007761C4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 </w:t>
      </w:r>
    </w:p>
    <w:p w:rsidR="007761C4" w:rsidRPr="008E7EF8" w:rsidRDefault="007761C4" w:rsidP="008E7EF8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E7EF8">
        <w:rPr>
          <w:rFonts w:ascii="Times New Roman" w:hAnsi="Times New Roman" w:cs="Times New Roman"/>
          <w:b/>
          <w:sz w:val="32"/>
          <w:szCs w:val="26"/>
        </w:rPr>
        <w:t>Положение</w:t>
      </w:r>
    </w:p>
    <w:p w:rsidR="007761C4" w:rsidRPr="008E7EF8" w:rsidRDefault="007761C4" w:rsidP="008E7EF8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E7EF8">
        <w:rPr>
          <w:rFonts w:ascii="Times New Roman" w:hAnsi="Times New Roman" w:cs="Times New Roman"/>
          <w:b/>
          <w:sz w:val="32"/>
          <w:szCs w:val="26"/>
        </w:rPr>
        <w:t>о системе оплаты труда работников</w:t>
      </w:r>
    </w:p>
    <w:p w:rsidR="007761C4" w:rsidRPr="008E7EF8" w:rsidRDefault="007761C4" w:rsidP="008E7EF8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E7EF8">
        <w:rPr>
          <w:rFonts w:ascii="Times New Roman" w:hAnsi="Times New Roman" w:cs="Times New Roman"/>
          <w:b/>
          <w:sz w:val="32"/>
          <w:szCs w:val="26"/>
        </w:rPr>
        <w:t>муниципального</w:t>
      </w:r>
      <w:r w:rsidR="00A80C94" w:rsidRPr="008E7EF8">
        <w:rPr>
          <w:rFonts w:ascii="Times New Roman" w:hAnsi="Times New Roman" w:cs="Times New Roman"/>
          <w:b/>
          <w:sz w:val="32"/>
          <w:szCs w:val="26"/>
        </w:rPr>
        <w:t xml:space="preserve"> бюджетного дошкольного образовательного</w:t>
      </w:r>
      <w:r w:rsidRPr="008E7EF8">
        <w:rPr>
          <w:rFonts w:ascii="Times New Roman" w:hAnsi="Times New Roman" w:cs="Times New Roman"/>
          <w:b/>
          <w:sz w:val="32"/>
          <w:szCs w:val="26"/>
        </w:rPr>
        <w:t xml:space="preserve"> учреждения</w:t>
      </w:r>
      <w:r w:rsidR="008E7EF8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FA0AD9">
        <w:rPr>
          <w:rFonts w:ascii="Times New Roman" w:hAnsi="Times New Roman" w:cs="Times New Roman"/>
          <w:b/>
          <w:sz w:val="32"/>
          <w:szCs w:val="26"/>
        </w:rPr>
        <w:t xml:space="preserve">«Детский сад № 12 </w:t>
      </w:r>
      <w:proofErr w:type="spellStart"/>
      <w:r w:rsidR="00FA0AD9">
        <w:rPr>
          <w:rFonts w:ascii="Times New Roman" w:hAnsi="Times New Roman" w:cs="Times New Roman"/>
          <w:b/>
          <w:sz w:val="32"/>
          <w:szCs w:val="26"/>
        </w:rPr>
        <w:t>с</w:t>
      </w:r>
      <w:proofErr w:type="gramStart"/>
      <w:r w:rsidR="00FA0AD9">
        <w:rPr>
          <w:rFonts w:ascii="Times New Roman" w:hAnsi="Times New Roman" w:cs="Times New Roman"/>
          <w:b/>
          <w:sz w:val="32"/>
          <w:szCs w:val="26"/>
        </w:rPr>
        <w:t>.Н</w:t>
      </w:r>
      <w:proofErr w:type="gramEnd"/>
      <w:r w:rsidR="00FA0AD9">
        <w:rPr>
          <w:rFonts w:ascii="Times New Roman" w:hAnsi="Times New Roman" w:cs="Times New Roman"/>
          <w:b/>
          <w:sz w:val="32"/>
          <w:szCs w:val="26"/>
        </w:rPr>
        <w:t>огир</w:t>
      </w:r>
      <w:proofErr w:type="spellEnd"/>
      <w:r w:rsidR="00FA0AD9">
        <w:rPr>
          <w:rFonts w:ascii="Times New Roman" w:hAnsi="Times New Roman" w:cs="Times New Roman"/>
          <w:b/>
          <w:sz w:val="32"/>
          <w:szCs w:val="26"/>
        </w:rPr>
        <w:t>»</w:t>
      </w:r>
    </w:p>
    <w:p w:rsidR="007761C4" w:rsidRPr="008E7EF8" w:rsidRDefault="007761C4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761C4" w:rsidRPr="008E7EF8" w:rsidRDefault="007761C4" w:rsidP="008E7EF8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EF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761C4" w:rsidRPr="008E7EF8" w:rsidRDefault="007761C4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1.1. Настоящее положение о системе оплаты труда работников</w:t>
      </w:r>
      <w:r w:rsidR="00A80C94" w:rsidRPr="008E7EF8"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 xml:space="preserve">муниципального бюджетного </w:t>
      </w:r>
      <w:r w:rsidR="00A80C94" w:rsidRPr="008E7EF8">
        <w:rPr>
          <w:rFonts w:ascii="Times New Roman" w:hAnsi="Times New Roman" w:cs="Times New Roman"/>
          <w:sz w:val="26"/>
          <w:szCs w:val="26"/>
        </w:rPr>
        <w:t>дошкольног</w:t>
      </w:r>
      <w:r w:rsidRPr="008E7EF8">
        <w:rPr>
          <w:rFonts w:ascii="Times New Roman" w:hAnsi="Times New Roman" w:cs="Times New Roman"/>
          <w:sz w:val="26"/>
          <w:szCs w:val="26"/>
        </w:rPr>
        <w:t>о</w:t>
      </w:r>
      <w:r w:rsidR="00A80C94" w:rsidRPr="008E7EF8"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FA0AD9">
        <w:rPr>
          <w:rFonts w:ascii="Times New Roman" w:hAnsi="Times New Roman" w:cs="Times New Roman"/>
          <w:sz w:val="26"/>
          <w:szCs w:val="26"/>
        </w:rPr>
        <w:t xml:space="preserve"> учреждения «Д</w:t>
      </w:r>
      <w:r w:rsidR="00A80C94" w:rsidRPr="008E7EF8">
        <w:rPr>
          <w:rFonts w:ascii="Times New Roman" w:hAnsi="Times New Roman" w:cs="Times New Roman"/>
          <w:sz w:val="26"/>
          <w:szCs w:val="26"/>
        </w:rPr>
        <w:t>етский сад</w:t>
      </w:r>
      <w:r w:rsidR="00FA0AD9">
        <w:rPr>
          <w:rFonts w:ascii="Times New Roman" w:hAnsi="Times New Roman" w:cs="Times New Roman"/>
          <w:sz w:val="26"/>
          <w:szCs w:val="26"/>
        </w:rPr>
        <w:t xml:space="preserve"> №12 с. </w:t>
      </w:r>
      <w:proofErr w:type="spellStart"/>
      <w:r w:rsidR="00FA0AD9">
        <w:rPr>
          <w:rFonts w:ascii="Times New Roman" w:hAnsi="Times New Roman" w:cs="Times New Roman"/>
          <w:sz w:val="26"/>
          <w:szCs w:val="26"/>
        </w:rPr>
        <w:t>Ногир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>»</w:t>
      </w:r>
      <w:r w:rsidR="00A80C94" w:rsidRPr="008E7EF8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8E7EF8">
        <w:rPr>
          <w:rFonts w:ascii="Times New Roman" w:hAnsi="Times New Roman" w:cs="Times New Roman"/>
          <w:sz w:val="26"/>
          <w:szCs w:val="26"/>
        </w:rPr>
        <w:t>– Положение) определяет порядок и условия оплаты труда и материального стимулирования работников</w:t>
      </w:r>
      <w:r w:rsidR="00A80C94" w:rsidRPr="008E7EF8">
        <w:rPr>
          <w:rFonts w:ascii="Times New Roman" w:hAnsi="Times New Roman" w:cs="Times New Roman"/>
          <w:sz w:val="26"/>
          <w:szCs w:val="26"/>
        </w:rPr>
        <w:t xml:space="preserve"> муниципального бюджетного дошкольного </w:t>
      </w:r>
      <w:r w:rsidRPr="008E7EF8">
        <w:rPr>
          <w:rFonts w:ascii="Times New Roman" w:hAnsi="Times New Roman" w:cs="Times New Roman"/>
          <w:sz w:val="26"/>
          <w:szCs w:val="26"/>
        </w:rPr>
        <w:t>образовательног</w:t>
      </w:r>
      <w:r w:rsidR="00FA0AD9">
        <w:rPr>
          <w:rFonts w:ascii="Times New Roman" w:hAnsi="Times New Roman" w:cs="Times New Roman"/>
          <w:sz w:val="26"/>
          <w:szCs w:val="26"/>
        </w:rPr>
        <w:t>о учреждения «Д</w:t>
      </w:r>
      <w:r w:rsidR="00A80C94" w:rsidRPr="008E7EF8">
        <w:rPr>
          <w:rFonts w:ascii="Times New Roman" w:hAnsi="Times New Roman" w:cs="Times New Roman"/>
          <w:sz w:val="26"/>
          <w:szCs w:val="26"/>
        </w:rPr>
        <w:t xml:space="preserve">етский сад </w:t>
      </w:r>
      <w:r w:rsidR="00FA0AD9">
        <w:rPr>
          <w:rFonts w:ascii="Times New Roman" w:hAnsi="Times New Roman" w:cs="Times New Roman"/>
          <w:sz w:val="26"/>
          <w:szCs w:val="26"/>
        </w:rPr>
        <w:t xml:space="preserve">№12 с. </w:t>
      </w:r>
      <w:proofErr w:type="spellStart"/>
      <w:r w:rsidR="00FA0AD9">
        <w:rPr>
          <w:rFonts w:ascii="Times New Roman" w:hAnsi="Times New Roman" w:cs="Times New Roman"/>
          <w:sz w:val="26"/>
          <w:szCs w:val="26"/>
        </w:rPr>
        <w:t>Ногир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>»</w:t>
      </w:r>
      <w:r w:rsidR="00A80C94" w:rsidRPr="008E7EF8"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>(далее – образовател</w:t>
      </w:r>
      <w:r w:rsidR="00FA0AD9">
        <w:rPr>
          <w:rFonts w:ascii="Times New Roman" w:hAnsi="Times New Roman" w:cs="Times New Roman"/>
          <w:sz w:val="26"/>
          <w:szCs w:val="26"/>
        </w:rPr>
        <w:t>ьное учреждение</w:t>
      </w:r>
      <w:r w:rsidRPr="008E7EF8">
        <w:rPr>
          <w:rFonts w:ascii="Times New Roman" w:hAnsi="Times New Roman" w:cs="Times New Roman"/>
          <w:sz w:val="26"/>
          <w:szCs w:val="26"/>
        </w:rPr>
        <w:t>).</w:t>
      </w:r>
    </w:p>
    <w:p w:rsidR="007761C4" w:rsidRPr="008E7EF8" w:rsidRDefault="007761C4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8E7EF8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</w:t>
      </w:r>
      <w:r w:rsidR="00E575E5" w:rsidRPr="008E7EF8">
        <w:rPr>
          <w:rFonts w:ascii="Times New Roman" w:hAnsi="Times New Roman" w:cs="Times New Roman"/>
          <w:sz w:val="26"/>
          <w:szCs w:val="26"/>
        </w:rPr>
        <w:t>вии с трудовым кодексом Российской Федерации, Федеральным законом от 29 декабря 2012 года №273-ФЗ с изменениями от 29 декабря 2022 года, Положение об оплате труда работников организации сферы образования и науки Республики Северная Осетия-Алания от 3 декабря 2021года с изменениями от 17 января 2023 года</w:t>
      </w:r>
      <w:r w:rsidRPr="008E7EF8">
        <w:rPr>
          <w:rFonts w:ascii="Times New Roman" w:hAnsi="Times New Roman" w:cs="Times New Roman"/>
          <w:sz w:val="26"/>
          <w:szCs w:val="26"/>
        </w:rPr>
        <w:t xml:space="preserve"> и иными нормативно-правовыми актами, содержащими нормы трудового права с учетом:</w:t>
      </w:r>
      <w:proofErr w:type="gramEnd"/>
    </w:p>
    <w:p w:rsidR="007761C4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61C4" w:rsidRPr="008E7EF8">
        <w:rPr>
          <w:rFonts w:ascii="Times New Roman" w:hAnsi="Times New Roman" w:cs="Times New Roman"/>
          <w:sz w:val="26"/>
          <w:szCs w:val="26"/>
        </w:rPr>
        <w:t>единого тарифно-квалификационного справочника работ и профессий рабочих;</w:t>
      </w:r>
    </w:p>
    <w:p w:rsidR="007761C4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61C4" w:rsidRPr="008E7EF8">
        <w:rPr>
          <w:rFonts w:ascii="Times New Roman" w:hAnsi="Times New Roman" w:cs="Times New Roman"/>
          <w:sz w:val="26"/>
          <w:szCs w:val="26"/>
        </w:rPr>
        <w:t>единого квалификационного справочника должностей руководителей, специалистов и служащих, квалификационного справочника должностей руководителей, специалистов и других служащих;</w:t>
      </w:r>
    </w:p>
    <w:p w:rsidR="007761C4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61C4" w:rsidRPr="008E7EF8">
        <w:rPr>
          <w:rFonts w:ascii="Times New Roman" w:hAnsi="Times New Roman" w:cs="Times New Roman"/>
          <w:sz w:val="26"/>
          <w:szCs w:val="26"/>
        </w:rPr>
        <w:t>профессиональных стандартов;</w:t>
      </w:r>
    </w:p>
    <w:p w:rsidR="007761C4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61C4" w:rsidRPr="008E7EF8">
        <w:rPr>
          <w:rFonts w:ascii="Times New Roman" w:hAnsi="Times New Roman" w:cs="Times New Roman"/>
          <w:sz w:val="26"/>
          <w:szCs w:val="26"/>
        </w:rPr>
        <w:t>государственных гарантий по оплате труда;</w:t>
      </w:r>
    </w:p>
    <w:p w:rsidR="007761C4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61C4" w:rsidRPr="008E7EF8">
        <w:rPr>
          <w:rFonts w:ascii="Times New Roman" w:hAnsi="Times New Roman" w:cs="Times New Roman"/>
          <w:sz w:val="26"/>
          <w:szCs w:val="26"/>
        </w:rPr>
        <w:t>Единых рекомендаций</w:t>
      </w:r>
      <w:r w:rsidR="00A80C94" w:rsidRPr="008E7EF8">
        <w:rPr>
          <w:rFonts w:ascii="Times New Roman" w:hAnsi="Times New Roman" w:cs="Times New Roman"/>
          <w:sz w:val="26"/>
          <w:szCs w:val="26"/>
        </w:rPr>
        <w:t xml:space="preserve"> </w:t>
      </w:r>
      <w:r w:rsidR="007761C4" w:rsidRPr="008E7EF8">
        <w:rPr>
          <w:rFonts w:ascii="Times New Roman" w:hAnsi="Times New Roman" w:cs="Times New Roman"/>
          <w:sz w:val="26"/>
          <w:szCs w:val="26"/>
        </w:rPr>
        <w:t>Российской трехсторонней комис</w:t>
      </w:r>
      <w:r w:rsidRPr="008E7EF8">
        <w:rPr>
          <w:rFonts w:ascii="Times New Roman" w:hAnsi="Times New Roman" w:cs="Times New Roman"/>
          <w:sz w:val="26"/>
          <w:szCs w:val="26"/>
        </w:rPr>
        <w:t>сии по регулированию социально-</w:t>
      </w:r>
      <w:r w:rsidR="007761C4" w:rsidRPr="008E7EF8">
        <w:rPr>
          <w:rFonts w:ascii="Times New Roman" w:hAnsi="Times New Roman" w:cs="Times New Roman"/>
          <w:sz w:val="26"/>
          <w:szCs w:val="26"/>
        </w:rPr>
        <w:t>трудовых отношений от 22.12.2017 № 11;</w:t>
      </w:r>
    </w:p>
    <w:p w:rsidR="007761C4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61C4" w:rsidRPr="008E7EF8">
        <w:rPr>
          <w:rFonts w:ascii="Times New Roman" w:hAnsi="Times New Roman" w:cs="Times New Roman"/>
          <w:sz w:val="26"/>
          <w:szCs w:val="26"/>
        </w:rPr>
        <w:t xml:space="preserve">Методических рекомендаций, направленных письмом </w:t>
      </w:r>
      <w:proofErr w:type="spellStart"/>
      <w:r w:rsidR="007761C4" w:rsidRPr="008E7EF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7761C4" w:rsidRPr="008E7EF8">
        <w:rPr>
          <w:rFonts w:ascii="Times New Roman" w:hAnsi="Times New Roman" w:cs="Times New Roman"/>
          <w:sz w:val="26"/>
          <w:szCs w:val="26"/>
        </w:rPr>
        <w:t xml:space="preserve"> от 29.12.2017 № ВП- 1992/02;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8E7EF8">
        <w:rPr>
          <w:rFonts w:ascii="Times New Roman" w:hAnsi="Times New Roman" w:cs="Times New Roman"/>
          <w:sz w:val="26"/>
          <w:szCs w:val="26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</w:t>
      </w:r>
      <w:hyperlink r:id="rId5" w:history="1">
        <w:r w:rsidRPr="008E7EF8">
          <w:rPr>
            <w:rStyle w:val="a4"/>
            <w:rFonts w:ascii="Times New Roman" w:hAnsi="Times New Roman" w:cs="Times New Roman"/>
            <w:sz w:val="26"/>
            <w:szCs w:val="26"/>
          </w:rPr>
          <w:t xml:space="preserve">Приказом Министерства образования и науки Российской Федерации от 22 декабря 2014 года N 1601 "О продолжительности рабочего времени (нормах часов педагогической работы за ставку заработной платы) педагогических работников и о </w:t>
        </w:r>
        <w:r w:rsidRPr="008E7EF8">
          <w:rPr>
            <w:rStyle w:val="a4"/>
            <w:rFonts w:ascii="Times New Roman" w:hAnsi="Times New Roman" w:cs="Times New Roman"/>
            <w:sz w:val="26"/>
            <w:szCs w:val="26"/>
          </w:rPr>
          <w:lastRenderedPageBreak/>
          <w:t>порядке определения учебной нагрузки педагогических работников, оговариваемой в трудовом договоре"</w:t>
        </w:r>
      </w:hyperlink>
      <w:r w:rsidRPr="008E7E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1.4. Заработная плата работника предельными размерами не ограничивается.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Повышение уровня реального содержания заработной платы работников обеспечивается посредством индексации размеров заработной платы. Объем фонда оплаты труда работников Организации подлежит ежегодной индексации исходя из индекса роста потребительских цен, сложившегося в Республике Северная Осетия-Алания за отчетный финансовый год.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" w:history="1">
        <w:r w:rsidRPr="008E7EF8">
          <w:rPr>
            <w:rStyle w:val="a4"/>
            <w:rFonts w:ascii="Times New Roman" w:hAnsi="Times New Roman" w:cs="Times New Roman"/>
            <w:sz w:val="26"/>
            <w:szCs w:val="26"/>
          </w:rPr>
          <w:t>Постановлением Правительства Республики Северная Осетия-Алания от 17.01.2023 N 12</w:t>
        </w:r>
      </w:hyperlink>
      <w:r w:rsidRPr="008E7EF8">
        <w:rPr>
          <w:rFonts w:ascii="Times New Roman" w:hAnsi="Times New Roman" w:cs="Times New Roman"/>
          <w:sz w:val="26"/>
          <w:szCs w:val="26"/>
        </w:rPr>
        <w:t>)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1.5.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1.6. 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должности.</w:t>
      </w:r>
    </w:p>
    <w:p w:rsid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761C4" w:rsidRPr="008E7EF8" w:rsidRDefault="009D7BEE" w:rsidP="008E7EF8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EF8">
        <w:rPr>
          <w:rFonts w:ascii="Times New Roman" w:hAnsi="Times New Roman" w:cs="Times New Roman"/>
          <w:b/>
          <w:sz w:val="26"/>
          <w:szCs w:val="26"/>
        </w:rPr>
        <w:t>II. Формирование фонда оплаты труда</w:t>
      </w:r>
    </w:p>
    <w:p w:rsidR="007761C4" w:rsidRPr="008E7EF8" w:rsidRDefault="009D7BEE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2.1</w:t>
      </w:r>
      <w:r w:rsidR="007761C4" w:rsidRPr="008E7EF8">
        <w:rPr>
          <w:rFonts w:ascii="Times New Roman" w:hAnsi="Times New Roman" w:cs="Times New Roman"/>
          <w:sz w:val="26"/>
          <w:szCs w:val="26"/>
        </w:rPr>
        <w:t xml:space="preserve">. Фонд оплаты </w:t>
      </w:r>
      <w:r w:rsidR="00FA0AD9">
        <w:rPr>
          <w:rFonts w:ascii="Times New Roman" w:hAnsi="Times New Roman" w:cs="Times New Roman"/>
          <w:sz w:val="26"/>
          <w:szCs w:val="26"/>
        </w:rPr>
        <w:t>труда работников образовательного</w:t>
      </w:r>
      <w:r w:rsidR="007761C4" w:rsidRPr="008E7EF8">
        <w:rPr>
          <w:rFonts w:ascii="Times New Roman" w:hAnsi="Times New Roman" w:cs="Times New Roman"/>
          <w:sz w:val="26"/>
          <w:szCs w:val="26"/>
        </w:rPr>
        <w:t xml:space="preserve"> </w:t>
      </w:r>
      <w:r w:rsidR="00FA0AD9">
        <w:rPr>
          <w:rFonts w:ascii="Times New Roman" w:hAnsi="Times New Roman" w:cs="Times New Roman"/>
          <w:sz w:val="26"/>
          <w:szCs w:val="26"/>
        </w:rPr>
        <w:t>учреждения</w:t>
      </w:r>
      <w:r w:rsidR="007761C4" w:rsidRPr="008E7EF8">
        <w:rPr>
          <w:rFonts w:ascii="Times New Roman" w:hAnsi="Times New Roman" w:cs="Times New Roman"/>
          <w:sz w:val="26"/>
          <w:szCs w:val="26"/>
        </w:rPr>
        <w:t xml:space="preserve"> формируется</w:t>
      </w:r>
      <w:r w:rsidR="00E575E5" w:rsidRPr="008E7EF8">
        <w:rPr>
          <w:rFonts w:ascii="Times New Roman" w:hAnsi="Times New Roman" w:cs="Times New Roman"/>
          <w:sz w:val="26"/>
          <w:szCs w:val="26"/>
        </w:rPr>
        <w:t xml:space="preserve"> в соответствии с ее штатным расписанием исходя из объ</w:t>
      </w:r>
      <w:r w:rsidR="007819C5" w:rsidRPr="008E7EF8">
        <w:rPr>
          <w:rFonts w:ascii="Times New Roman" w:hAnsi="Times New Roman" w:cs="Times New Roman"/>
          <w:sz w:val="26"/>
          <w:szCs w:val="26"/>
        </w:rPr>
        <w:t>е</w:t>
      </w:r>
      <w:r w:rsidR="00E575E5" w:rsidRPr="008E7EF8">
        <w:rPr>
          <w:rFonts w:ascii="Times New Roman" w:hAnsi="Times New Roman" w:cs="Times New Roman"/>
          <w:sz w:val="26"/>
          <w:szCs w:val="26"/>
        </w:rPr>
        <w:t>ма</w:t>
      </w:r>
      <w:r w:rsidR="007819C5" w:rsidRPr="008E7EF8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республиканского бюджета Ре</w:t>
      </w:r>
      <w:r w:rsidR="008E7EF8" w:rsidRPr="008E7EF8">
        <w:rPr>
          <w:rFonts w:ascii="Times New Roman" w:hAnsi="Times New Roman" w:cs="Times New Roman"/>
          <w:sz w:val="26"/>
          <w:szCs w:val="26"/>
        </w:rPr>
        <w:t>с</w:t>
      </w:r>
      <w:r w:rsidR="007819C5" w:rsidRPr="008E7EF8">
        <w:rPr>
          <w:rFonts w:ascii="Times New Roman" w:hAnsi="Times New Roman" w:cs="Times New Roman"/>
          <w:sz w:val="26"/>
          <w:szCs w:val="26"/>
        </w:rPr>
        <w:t>публики Северная Осетия-Алания,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Организации</w:t>
      </w:r>
      <w:r w:rsidR="007761C4" w:rsidRPr="008E7EF8">
        <w:rPr>
          <w:rFonts w:ascii="Times New Roman" w:hAnsi="Times New Roman" w:cs="Times New Roman"/>
          <w:sz w:val="26"/>
          <w:szCs w:val="26"/>
        </w:rPr>
        <w:t>.</w:t>
      </w:r>
    </w:p>
    <w:p w:rsidR="00CE2B94" w:rsidRPr="008E7EF8" w:rsidRDefault="009D7BEE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2.2. Штатное расписание включает в </w:t>
      </w:r>
      <w:r w:rsidR="00FA0AD9">
        <w:rPr>
          <w:rFonts w:ascii="Times New Roman" w:hAnsi="Times New Roman" w:cs="Times New Roman"/>
          <w:sz w:val="26"/>
          <w:szCs w:val="26"/>
        </w:rPr>
        <w:t>себя должности работников данном учреждении и утверждается руководителем учреждения</w:t>
      </w:r>
      <w:r w:rsidRPr="008E7EF8">
        <w:rPr>
          <w:rFonts w:ascii="Times New Roman" w:hAnsi="Times New Roman" w:cs="Times New Roman"/>
          <w:sz w:val="26"/>
          <w:szCs w:val="26"/>
        </w:rPr>
        <w:t>. Наименование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</w:t>
      </w:r>
    </w:p>
    <w:p w:rsidR="007761C4" w:rsidRPr="008E7EF8" w:rsidRDefault="007761C4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EF8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8E7EF8" w:rsidRPr="008E7EF8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E2B94" w:rsidRPr="008E7EF8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8E7EF8">
        <w:rPr>
          <w:rFonts w:ascii="Times New Roman" w:hAnsi="Times New Roman" w:cs="Times New Roman"/>
          <w:sz w:val="26"/>
          <w:szCs w:val="26"/>
          <w:u w:val="single"/>
        </w:rPr>
        <w:t xml:space="preserve"> Распределение фонда оплаты труда образовательной организации</w:t>
      </w:r>
    </w:p>
    <w:p w:rsidR="007761C4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7761C4" w:rsidRPr="008E7EF8">
        <w:rPr>
          <w:rFonts w:ascii="Times New Roman" w:hAnsi="Times New Roman" w:cs="Times New Roman"/>
          <w:sz w:val="26"/>
          <w:szCs w:val="26"/>
        </w:rPr>
        <w:t>.</w:t>
      </w:r>
      <w:r w:rsidR="008C76B9" w:rsidRPr="008E7EF8">
        <w:rPr>
          <w:rFonts w:ascii="Times New Roman" w:hAnsi="Times New Roman" w:cs="Times New Roman"/>
          <w:sz w:val="26"/>
          <w:szCs w:val="26"/>
        </w:rPr>
        <w:t>1.</w:t>
      </w:r>
      <w:r w:rsidR="007761C4" w:rsidRPr="008E7EF8">
        <w:rPr>
          <w:rFonts w:ascii="Times New Roman" w:hAnsi="Times New Roman" w:cs="Times New Roman"/>
          <w:sz w:val="26"/>
          <w:szCs w:val="26"/>
        </w:rPr>
        <w:t xml:space="preserve"> Ф</w:t>
      </w:r>
      <w:r w:rsidR="00FA0AD9">
        <w:rPr>
          <w:rFonts w:ascii="Times New Roman" w:hAnsi="Times New Roman" w:cs="Times New Roman"/>
          <w:sz w:val="26"/>
          <w:szCs w:val="26"/>
        </w:rPr>
        <w:t>онд оплаты труда образовательного учреждения</w:t>
      </w:r>
      <w:r w:rsidR="007761C4" w:rsidRPr="008E7EF8">
        <w:rPr>
          <w:rFonts w:ascii="Times New Roman" w:hAnsi="Times New Roman" w:cs="Times New Roman"/>
          <w:sz w:val="26"/>
          <w:szCs w:val="26"/>
        </w:rPr>
        <w:t xml:space="preserve"> состоит из баз</w:t>
      </w:r>
      <w:r w:rsidR="008C76B9" w:rsidRPr="008E7EF8">
        <w:rPr>
          <w:rFonts w:ascii="Times New Roman" w:hAnsi="Times New Roman" w:cs="Times New Roman"/>
          <w:sz w:val="26"/>
          <w:szCs w:val="26"/>
        </w:rPr>
        <w:t>овой части (должностных окладов</w:t>
      </w:r>
      <w:r w:rsidR="007761C4" w:rsidRPr="008E7EF8">
        <w:rPr>
          <w:rFonts w:ascii="Times New Roman" w:hAnsi="Times New Roman" w:cs="Times New Roman"/>
          <w:sz w:val="26"/>
          <w:szCs w:val="26"/>
        </w:rPr>
        <w:t xml:space="preserve"> </w:t>
      </w:r>
      <w:r w:rsidR="008C76B9" w:rsidRPr="008E7EF8">
        <w:rPr>
          <w:rFonts w:ascii="Times New Roman" w:hAnsi="Times New Roman" w:cs="Times New Roman"/>
          <w:sz w:val="26"/>
          <w:szCs w:val="26"/>
        </w:rPr>
        <w:t>(</w:t>
      </w:r>
      <w:r w:rsidR="007761C4" w:rsidRPr="008E7EF8">
        <w:rPr>
          <w:rFonts w:ascii="Times New Roman" w:hAnsi="Times New Roman" w:cs="Times New Roman"/>
          <w:sz w:val="26"/>
          <w:szCs w:val="26"/>
        </w:rPr>
        <w:t>ставок заработной платы</w:t>
      </w:r>
      <w:r w:rsidR="008C76B9" w:rsidRPr="008E7EF8">
        <w:rPr>
          <w:rFonts w:ascii="Times New Roman" w:hAnsi="Times New Roman" w:cs="Times New Roman"/>
          <w:sz w:val="26"/>
          <w:szCs w:val="26"/>
        </w:rPr>
        <w:t>) и выплат компенсационного характера)</w:t>
      </w:r>
      <w:r w:rsidR="007761C4" w:rsidRPr="008E7EF8">
        <w:rPr>
          <w:rFonts w:ascii="Times New Roman" w:hAnsi="Times New Roman" w:cs="Times New Roman"/>
          <w:sz w:val="26"/>
          <w:szCs w:val="26"/>
        </w:rPr>
        <w:t xml:space="preserve"> стимулирующей части</w:t>
      </w:r>
      <w:r w:rsidR="008C76B9" w:rsidRPr="008E7EF8">
        <w:rPr>
          <w:rFonts w:ascii="Times New Roman" w:hAnsi="Times New Roman" w:cs="Times New Roman"/>
          <w:sz w:val="26"/>
          <w:szCs w:val="26"/>
        </w:rPr>
        <w:t>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8C76B9" w:rsidRPr="008E7EF8">
        <w:rPr>
          <w:rFonts w:ascii="Times New Roman" w:hAnsi="Times New Roman" w:cs="Times New Roman"/>
          <w:sz w:val="26"/>
          <w:szCs w:val="26"/>
        </w:rPr>
        <w:t xml:space="preserve">.2. </w:t>
      </w:r>
      <w:r w:rsidRPr="008E7EF8">
        <w:rPr>
          <w:rFonts w:ascii="Times New Roman" w:hAnsi="Times New Roman" w:cs="Times New Roman"/>
          <w:sz w:val="26"/>
          <w:szCs w:val="26"/>
        </w:rPr>
        <w:t>Базовые оклады</w:t>
      </w:r>
      <w:r w:rsidR="00FA0AD9">
        <w:rPr>
          <w:rFonts w:ascii="Times New Roman" w:hAnsi="Times New Roman" w:cs="Times New Roman"/>
          <w:sz w:val="26"/>
          <w:szCs w:val="26"/>
        </w:rPr>
        <w:t xml:space="preserve"> (ставки) работникам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 устанавливаются согласно приложению 1 к настоящему Положению в соответствии с должностями работников, отнесенными </w:t>
      </w:r>
      <w:proofErr w:type="gramStart"/>
      <w:r w:rsidRPr="008E7EF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 xml:space="preserve"> соответствующим ПКГ.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- компенсация) в размере 100 рублей.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lastRenderedPageBreak/>
        <w:t>Базовый оклад (ставка) педаг</w:t>
      </w:r>
      <w:r w:rsidR="00FA0AD9">
        <w:rPr>
          <w:rFonts w:ascii="Times New Roman" w:hAnsi="Times New Roman" w:cs="Times New Roman"/>
          <w:sz w:val="26"/>
          <w:szCs w:val="26"/>
        </w:rPr>
        <w:t>огических работников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Об =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Обп</w:t>
      </w:r>
      <w:proofErr w:type="spellEnd"/>
      <w:proofErr w:type="gramStart"/>
      <w:r w:rsidRPr="008E7EF8">
        <w:rPr>
          <w:rFonts w:ascii="Times New Roman" w:hAnsi="Times New Roman" w:cs="Times New Roman"/>
          <w:sz w:val="26"/>
          <w:szCs w:val="26"/>
        </w:rPr>
        <w:t xml:space="preserve"> + К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>, где: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Об - базовый оклад (ставка);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Обп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базовый оклад (ставка) работника в соответствии с приложением 1 к настоящему Положению;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7EF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 xml:space="preserve"> - компенсация.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="007761C4" w:rsidRPr="008E7EF8">
        <w:rPr>
          <w:rFonts w:ascii="Times New Roman" w:hAnsi="Times New Roman" w:cs="Times New Roman"/>
          <w:sz w:val="26"/>
          <w:szCs w:val="26"/>
        </w:rPr>
        <w:t>.</w:t>
      </w:r>
      <w:r w:rsidRPr="008E7EF8">
        <w:rPr>
          <w:rFonts w:ascii="Times New Roman" w:hAnsi="Times New Roman" w:cs="Times New Roman"/>
          <w:sz w:val="26"/>
          <w:szCs w:val="26"/>
        </w:rPr>
        <w:t xml:space="preserve"> Выплаты компенсационного характера, включаемые в базовую часть фонда оплаты труда, определяются в соответствии с трудовым законодательством, настоящим Положение</w:t>
      </w:r>
      <w:r w:rsidR="00FA0AD9">
        <w:rPr>
          <w:rFonts w:ascii="Times New Roman" w:hAnsi="Times New Roman" w:cs="Times New Roman"/>
          <w:sz w:val="26"/>
          <w:szCs w:val="26"/>
        </w:rPr>
        <w:t>м, локальными актами учреждения</w:t>
      </w:r>
      <w:r w:rsidRPr="008E7EF8">
        <w:rPr>
          <w:rFonts w:ascii="Times New Roman" w:hAnsi="Times New Roman" w:cs="Times New Roman"/>
          <w:sz w:val="26"/>
          <w:szCs w:val="26"/>
        </w:rPr>
        <w:t>, разработанными с учетом мнения выборного органа первичной профсоюзной организации, и рассчитываются в денежном выражении согласно настоящему Положению.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Выплаты компенсационного характера работникам устанавли</w:t>
      </w:r>
      <w:r w:rsidR="00FA0AD9">
        <w:rPr>
          <w:rFonts w:ascii="Times New Roman" w:hAnsi="Times New Roman" w:cs="Times New Roman"/>
          <w:sz w:val="26"/>
          <w:szCs w:val="26"/>
        </w:rPr>
        <w:t>ваются руководителем учреждения, а руководителю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 - органом, осуществляющим функции и полномочия учредителя (далее - Учредитель). Конкретный размер выплаты определяется с учетом требований настоящего Положения в пределах средств, направляемых на оплату труда, а также средств, полученных от приносящей доход деятельности.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В соответствии с настоящим Положением устанавливаются следующие выплаты: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1)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2) за замещение временно отсутствующего воспитателя размер доплаты рассчитывается по формуле: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Дз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= (Об +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Нк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) /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Чпр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Чф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>, где: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Дз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размер доплаты за замещение временно отсутствующего воспитателя;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Об - базовый оклад (ставка) воспитателя;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Нк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размер надбавки за квалификационную категорию.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Для воспитателей, имеющих первую квалификационную категорию, значение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Нк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- 2000 рублей;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для воспитателей, имеющих высшую квалификационную категорию, значение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Нк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- 4000 рублей;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Чпр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норма часов в месяц по производственному календарю;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Чф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фактическое количество часов, замещенных воспитателем за месяц;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4) за замещение временно отсутствующего помощника воспитателя размер доплаты рассчитывается по формуле: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Дз</w:t>
      </w:r>
      <w:proofErr w:type="spellEnd"/>
      <w:proofErr w:type="gramStart"/>
      <w:r w:rsidRPr="008E7EF8">
        <w:rPr>
          <w:rFonts w:ascii="Times New Roman" w:hAnsi="Times New Roman" w:cs="Times New Roman"/>
          <w:sz w:val="26"/>
          <w:szCs w:val="26"/>
        </w:rPr>
        <w:t xml:space="preserve"> = О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>б /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Чпр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Чф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>, где: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Дз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размер доплаты за замещение временно отсутствующего помощника воспитателя;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Об - базовый оклад (ставка) помощника воспитателя;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Чпр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норма часов в месяц по производственному календарю;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Чф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- фактическое количество часов, замещенных помощником воспитателя за месяц;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lastRenderedPageBreak/>
        <w:t>5) за работу в ночное время (с 22.00 часов до 6.00 часов) размер выплаты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</w:t>
      </w:r>
      <w:r w:rsidR="00FA0AD9">
        <w:rPr>
          <w:rFonts w:ascii="Times New Roman" w:hAnsi="Times New Roman" w:cs="Times New Roman"/>
          <w:sz w:val="26"/>
          <w:szCs w:val="26"/>
        </w:rPr>
        <w:t>фсоюзной организации учреждения</w:t>
      </w:r>
      <w:r w:rsidRPr="008E7EF8">
        <w:rPr>
          <w:rFonts w:ascii="Times New Roman" w:hAnsi="Times New Roman" w:cs="Times New Roman"/>
          <w:sz w:val="26"/>
          <w:szCs w:val="26"/>
        </w:rPr>
        <w:t>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6) за сверхурочную работу выплата производится в соответствии со статьей 152 </w:t>
      </w:r>
      <w:hyperlink r:id="rId7" w:anchor="64U0IK" w:history="1">
        <w:r w:rsidRPr="008E7EF8">
          <w:rPr>
            <w:rStyle w:val="a4"/>
            <w:rFonts w:ascii="Times New Roman" w:hAnsi="Times New Roman" w:cs="Times New Roman"/>
            <w:sz w:val="26"/>
            <w:szCs w:val="26"/>
          </w:rPr>
          <w:t>Трудового кодекса Российской Федерации</w:t>
        </w:r>
      </w:hyperlink>
      <w:r w:rsidRPr="008E7EF8">
        <w:rPr>
          <w:rFonts w:ascii="Times New Roman" w:hAnsi="Times New Roman" w:cs="Times New Roman"/>
          <w:sz w:val="26"/>
          <w:szCs w:val="26"/>
        </w:rPr>
        <w:t>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7) за работу в выходные и нерабочие праздничные дни выплата производится в соответствии со статьей 153 </w:t>
      </w:r>
      <w:hyperlink r:id="rId8" w:anchor="64U0IK" w:history="1">
        <w:r w:rsidRPr="008E7EF8">
          <w:rPr>
            <w:rStyle w:val="a4"/>
            <w:rFonts w:ascii="Times New Roman" w:hAnsi="Times New Roman" w:cs="Times New Roman"/>
            <w:sz w:val="26"/>
            <w:szCs w:val="26"/>
          </w:rPr>
          <w:t>Трудового кодекса Российской Федерации</w:t>
        </w:r>
      </w:hyperlink>
      <w:r w:rsidRPr="008E7EF8">
        <w:rPr>
          <w:rFonts w:ascii="Times New Roman" w:hAnsi="Times New Roman" w:cs="Times New Roman"/>
          <w:sz w:val="26"/>
          <w:szCs w:val="26"/>
        </w:rPr>
        <w:t>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8) за условия труда, которые по результатам специальной оценки условий труда отнесены к вредным условиям, размер выплаты составляет от 4 до 7 процентов 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</w:t>
      </w:r>
      <w:hyperlink r:id="rId9" w:anchor="64U0IK" w:history="1">
        <w:r w:rsidRPr="008E7EF8">
          <w:rPr>
            <w:rStyle w:val="a4"/>
            <w:rFonts w:ascii="Times New Roman" w:hAnsi="Times New Roman" w:cs="Times New Roman"/>
            <w:sz w:val="26"/>
            <w:szCs w:val="26"/>
          </w:rPr>
          <w:t>Трудового кодекса Российской Федерации</w:t>
        </w:r>
      </w:hyperlink>
      <w:r w:rsidRPr="008E7EF8">
        <w:rPr>
          <w:rFonts w:ascii="Times New Roman" w:hAnsi="Times New Roman" w:cs="Times New Roman"/>
          <w:sz w:val="26"/>
          <w:szCs w:val="26"/>
        </w:rPr>
        <w:t xml:space="preserve"> для принятия локальных нормативных актов, либо коллективным договором, трудовым договором;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11) за специфику работы: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педагогическим, медицинским и руководящим работникам (работникам, занимающим должности руководителей):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за работу в специальных (коррекционных) образовательных Организациях для обучающихся, воспитанников с отклонениями в развитии (в том числе с задержкой психического развития) - 1 500 рублей;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за специфику работы педагогическим работникам: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за преподавание родного языка и родной литературы - 1 100 рублей;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за обслуживание офици</w:t>
      </w:r>
      <w:r w:rsidR="00FA0AD9">
        <w:rPr>
          <w:rFonts w:ascii="Times New Roman" w:hAnsi="Times New Roman" w:cs="Times New Roman"/>
          <w:sz w:val="26"/>
          <w:szCs w:val="26"/>
        </w:rPr>
        <w:t>ального сайта Организации – 1500</w:t>
      </w:r>
      <w:r w:rsidRPr="008E7E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>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за обслуживание официальной страницы Орган</w:t>
      </w:r>
      <w:r w:rsidR="00FA0AD9">
        <w:rPr>
          <w:rFonts w:ascii="Times New Roman" w:hAnsi="Times New Roman" w:cs="Times New Roman"/>
          <w:sz w:val="26"/>
          <w:szCs w:val="26"/>
        </w:rPr>
        <w:t>изации в социальных сетях – 1500</w:t>
      </w:r>
      <w:r w:rsidRPr="008E7E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>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за обслуживание ПФДО Организации – 1000 </w:t>
      </w:r>
      <w:proofErr w:type="spellStart"/>
      <w:r w:rsidRPr="008E7EF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>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молодым специалистам (педагогическим работникам) со стажем работы до 2 лет - 2000 руб.;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761C4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EF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7761C4" w:rsidRPr="008E7EF8">
        <w:rPr>
          <w:rFonts w:ascii="Times New Roman" w:hAnsi="Times New Roman" w:cs="Times New Roman"/>
          <w:b/>
          <w:sz w:val="26"/>
          <w:szCs w:val="26"/>
        </w:rPr>
        <w:t>. Порядок и условия установления выплат стимулирующего характера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E7EF8">
        <w:rPr>
          <w:rFonts w:ascii="Times New Roman" w:hAnsi="Times New Roman" w:cs="Times New Roman"/>
          <w:sz w:val="26"/>
          <w:szCs w:val="26"/>
        </w:rPr>
        <w:t>.1</w:t>
      </w:r>
      <w:r w:rsidR="007761C4" w:rsidRPr="008E7EF8">
        <w:rPr>
          <w:rFonts w:ascii="Times New Roman" w:hAnsi="Times New Roman" w:cs="Times New Roman"/>
          <w:sz w:val="26"/>
          <w:szCs w:val="26"/>
        </w:rPr>
        <w:t xml:space="preserve">. </w:t>
      </w:r>
      <w:r w:rsidRPr="008E7EF8">
        <w:rPr>
          <w:rFonts w:ascii="Times New Roman" w:hAnsi="Times New Roman" w:cs="Times New Roman"/>
          <w:sz w:val="26"/>
          <w:szCs w:val="26"/>
        </w:rPr>
        <w:t>Стимулирующая часть фонда оплаты труда включает в себя: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- стимулирующие выплаты руководителю организации;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- стимулирующие выплаты в абсолютной сумме;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- стимулирующие выплаты по критериям, рассчитываемые из стоимости одного балла. Сумма данной части стимулирующих выплат формируется из общей суммы стимулирующей части фонда оплаты труда за минусом стимулирующих </w:t>
      </w:r>
      <w:proofErr w:type="gramStart"/>
      <w:r w:rsidRPr="008E7EF8">
        <w:rPr>
          <w:rFonts w:ascii="Times New Roman" w:hAnsi="Times New Roman" w:cs="Times New Roman"/>
          <w:sz w:val="26"/>
          <w:szCs w:val="26"/>
        </w:rPr>
        <w:t>выплат руководителя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 xml:space="preserve"> и выплат  в абсолютной сумме (фиксированных).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8E7EF8">
        <w:rPr>
          <w:rFonts w:ascii="Times New Roman" w:hAnsi="Times New Roman" w:cs="Times New Roman"/>
          <w:sz w:val="26"/>
          <w:szCs w:val="26"/>
        </w:rPr>
        <w:t>Размер стимулирующих выплат каждому претенденту за определенный период определяется следующим образом: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производится подсчет баллов претендента, накопленных в процессе мониторинга профессиональной деятельности каждого работника за прошедший период;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lastRenderedPageBreak/>
        <w:t>суммируются баллы, полученные всеми претендентами (общая сумма баллов);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из стимулирующей части отнимается стимулирующая заведующего и сумма доплат в абсолютной форме;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 xml:space="preserve"> оставшаяся стимулирующая часть фонда оплаты труда делится на общую сумму баллов, в результате получается денежный вес (в рублях) одного балла;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денежный вес умножается на сумму баллов каждого претендента, и определяется размер стимулирующих выплат.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8E7EF8">
        <w:rPr>
          <w:rFonts w:ascii="Times New Roman" w:hAnsi="Times New Roman" w:cs="Times New Roman"/>
          <w:sz w:val="26"/>
          <w:szCs w:val="26"/>
        </w:rPr>
        <w:t xml:space="preserve">. В случае внутреннего совместительства </w:t>
      </w:r>
      <w:r w:rsidR="000469F3">
        <w:rPr>
          <w:rFonts w:ascii="Times New Roman" w:hAnsi="Times New Roman" w:cs="Times New Roman"/>
          <w:sz w:val="26"/>
          <w:szCs w:val="26"/>
        </w:rPr>
        <w:t>работники учреждения</w:t>
      </w:r>
      <w:r w:rsidRPr="008E7EF8">
        <w:rPr>
          <w:rFonts w:ascii="Times New Roman" w:hAnsi="Times New Roman" w:cs="Times New Roman"/>
          <w:sz w:val="26"/>
          <w:szCs w:val="26"/>
        </w:rPr>
        <w:t>, включая бухгалтера, могут претендовать на стимулирующие надбавки только по одной из занимаемых должностей.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8E7EF8">
        <w:rPr>
          <w:rFonts w:ascii="Times New Roman" w:hAnsi="Times New Roman" w:cs="Times New Roman"/>
          <w:sz w:val="26"/>
          <w:szCs w:val="26"/>
        </w:rPr>
        <w:t xml:space="preserve">. Заведующий МБДОУ </w:t>
      </w:r>
      <w:r w:rsidR="000469F3">
        <w:rPr>
          <w:rFonts w:ascii="Times New Roman" w:hAnsi="Times New Roman" w:cs="Times New Roman"/>
          <w:sz w:val="26"/>
          <w:szCs w:val="26"/>
        </w:rPr>
        <w:t xml:space="preserve">«Детский сад №12 с. </w:t>
      </w:r>
      <w:proofErr w:type="spellStart"/>
      <w:r w:rsidR="000469F3">
        <w:rPr>
          <w:rFonts w:ascii="Times New Roman" w:hAnsi="Times New Roman" w:cs="Times New Roman"/>
          <w:sz w:val="26"/>
          <w:szCs w:val="26"/>
        </w:rPr>
        <w:t>Ногир</w:t>
      </w:r>
      <w:proofErr w:type="spellEnd"/>
      <w:r w:rsidR="000469F3">
        <w:rPr>
          <w:rFonts w:ascii="Times New Roman" w:hAnsi="Times New Roman" w:cs="Times New Roman"/>
          <w:sz w:val="26"/>
          <w:szCs w:val="26"/>
        </w:rPr>
        <w:t>»</w:t>
      </w:r>
      <w:r w:rsidRPr="008E7EF8">
        <w:rPr>
          <w:rFonts w:ascii="Times New Roman" w:hAnsi="Times New Roman" w:cs="Times New Roman"/>
          <w:sz w:val="26"/>
          <w:szCs w:val="26"/>
        </w:rPr>
        <w:t xml:space="preserve"> имеет право претендовать на стимулирующую надбавку в соответствии с муниципальным Положением об установлении надбавок за высокие результаты и качество выполняемых работ (стимулирующих выплат) руководителям муниципальных образовательных учреждений, подведомственных управлению образования администрации местного самоуправления </w:t>
      </w:r>
      <w:r w:rsidR="000469F3">
        <w:rPr>
          <w:rFonts w:ascii="Times New Roman" w:hAnsi="Times New Roman" w:cs="Times New Roman"/>
          <w:sz w:val="26"/>
          <w:szCs w:val="26"/>
        </w:rPr>
        <w:t xml:space="preserve">Пригородного муниципального района </w:t>
      </w:r>
      <w:proofErr w:type="spellStart"/>
      <w:r w:rsidR="000469F3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8E7E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>Расчёт стимулирующих выплат руководителю осуществляется согласно Положению об установлении надбавок за высокие результаты и качество выполняемых работ (оказываемых услуг) руководителям организаций, подведомственных Управлению</w:t>
      </w:r>
      <w:r w:rsidR="000469F3">
        <w:rPr>
          <w:rFonts w:ascii="Times New Roman" w:hAnsi="Times New Roman" w:cs="Times New Roman"/>
          <w:sz w:val="26"/>
          <w:szCs w:val="26"/>
        </w:rPr>
        <w:t xml:space="preserve"> образования АМС Пригородного муниципального района </w:t>
      </w:r>
      <w:proofErr w:type="spellStart"/>
      <w:r w:rsidR="000469F3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 xml:space="preserve"> в рамках Положения об оплате труда работников, утвержде</w:t>
      </w:r>
      <w:r w:rsidR="009C2E20">
        <w:rPr>
          <w:rFonts w:ascii="Times New Roman" w:hAnsi="Times New Roman" w:cs="Times New Roman"/>
          <w:sz w:val="26"/>
          <w:szCs w:val="26"/>
        </w:rPr>
        <w:t xml:space="preserve">нным Постановлением АМС Пригородного муниципального района </w:t>
      </w:r>
      <w:proofErr w:type="spellStart"/>
      <w:r w:rsidR="009C2E20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Pr="008E7EF8">
        <w:rPr>
          <w:rFonts w:ascii="Times New Roman" w:hAnsi="Times New Roman" w:cs="Times New Roman"/>
          <w:sz w:val="26"/>
          <w:szCs w:val="26"/>
        </w:rPr>
        <w:t>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Pr="008E7E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 xml:space="preserve">Выплата за интенсивность и высокие результаты работы руководителю организации устанавливается приказом Управления с учётом </w:t>
      </w:r>
      <w:proofErr w:type="gramStart"/>
      <w:r w:rsidRPr="008E7EF8">
        <w:rPr>
          <w:rFonts w:ascii="Times New Roman" w:hAnsi="Times New Roman" w:cs="Times New Roman"/>
          <w:sz w:val="26"/>
          <w:szCs w:val="26"/>
        </w:rPr>
        <w:t>достижения целевых показателей эффективности работы организации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 xml:space="preserve"> в размере до 100% от базового оклада (ставки) руководителя. Перечень целевых показателей эффективности работы организации утверждается приказом Управления.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Pr="008E7E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>Увольнение руководителя не лишает его права на получение выплаты за высокие результаты и качество выполняемых работ (оказываемых услуг) за отработанный период.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Pr="008E7EF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C2E20">
        <w:rPr>
          <w:rFonts w:ascii="Times New Roman" w:hAnsi="Times New Roman" w:cs="Times New Roman"/>
          <w:sz w:val="26"/>
          <w:szCs w:val="26"/>
        </w:rPr>
        <w:t>Выплата руководителю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 за эффективную работу по внебюджетной деятельности (если таковая имеется) может устанавливаться  приказом Учредителя по итогам работы за год в процентном отношении от суммы привлечённых средств и выплачивается ежемесячно в равных долях в течение года, следующего за отчётным, за счёт средств, полученных организацией от приносящей доход деятельности.</w:t>
      </w:r>
      <w:proofErr w:type="gramEnd"/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Pr="008E7EF8">
        <w:rPr>
          <w:rFonts w:ascii="Times New Roman" w:hAnsi="Times New Roman" w:cs="Times New Roman"/>
          <w:sz w:val="26"/>
          <w:szCs w:val="26"/>
        </w:rPr>
        <w:t>. При увольнении руководителя организации, назначенная выплата производится в полном объёме.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Pr="008E7EF8">
        <w:rPr>
          <w:rFonts w:ascii="Times New Roman" w:hAnsi="Times New Roman" w:cs="Times New Roman"/>
          <w:sz w:val="26"/>
          <w:szCs w:val="26"/>
        </w:rPr>
        <w:t>. Руководителю организации при наличии экономии по фонду оплаты труда может быть выплачена премия по итогам работы за месяц, квартал, 9 месяцев, год.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Pr="008E7EF8">
        <w:rPr>
          <w:rFonts w:ascii="Times New Roman" w:hAnsi="Times New Roman" w:cs="Times New Roman"/>
          <w:sz w:val="26"/>
          <w:szCs w:val="26"/>
        </w:rPr>
        <w:t xml:space="preserve">. По итогам работы за месяц, квартал, полугодие, 9 месяцев, год, при наличии экономии по фонду оплаты труда, в целях поощрения работников организации может быть выплачена премия.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Порядок и условия премиальных выплат устанавливаются с учётом мнения выборного органа первичной профсоюзной организации.</w:t>
      </w:r>
    </w:p>
    <w:p w:rsidR="009C2E20" w:rsidRDefault="009C2E20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3.12</w:t>
      </w:r>
      <w:r w:rsidRPr="008E7EF8">
        <w:rPr>
          <w:rFonts w:ascii="Times New Roman" w:hAnsi="Times New Roman" w:cs="Times New Roman"/>
          <w:sz w:val="26"/>
          <w:szCs w:val="26"/>
        </w:rPr>
        <w:t>. В состав экспертной комиссии общеобразовательного учреждения входят члены педагогического коллектива, избранных на общем собрании трудового коллектива.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Pr="008E7EF8">
        <w:rPr>
          <w:rFonts w:ascii="Times New Roman" w:hAnsi="Times New Roman" w:cs="Times New Roman"/>
          <w:sz w:val="26"/>
          <w:szCs w:val="26"/>
        </w:rPr>
        <w:t>. Оценка качества и результативности труда работников общеобразовательного учреждения осуществляется на основании показателей, утвержденных в общеобразовательном учреждении (Приложение 1).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Pr="008E7EF8">
        <w:rPr>
          <w:rFonts w:ascii="Times New Roman" w:hAnsi="Times New Roman" w:cs="Times New Roman"/>
          <w:sz w:val="26"/>
          <w:szCs w:val="26"/>
        </w:rPr>
        <w:t xml:space="preserve">. Общая сумма баллов по показателям качества и результативности деятельности составляет 100 баллов.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Pr="008E7EF8">
        <w:rPr>
          <w:rFonts w:ascii="Times New Roman" w:hAnsi="Times New Roman" w:cs="Times New Roman"/>
          <w:sz w:val="26"/>
          <w:szCs w:val="26"/>
        </w:rPr>
        <w:t>. Конкретные значения показателей в баллах утверждаются на уровне учреждения в соответствии с образовательной программой учреждения.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Pr="008E7EF8">
        <w:rPr>
          <w:rFonts w:ascii="Times New Roman" w:hAnsi="Times New Roman" w:cs="Times New Roman"/>
          <w:sz w:val="26"/>
          <w:szCs w:val="26"/>
        </w:rPr>
        <w:t>. Получить стимулирующую надбавку могут работники, набравшие не менее определенного количества баллов, нижний предел которого устана</w:t>
      </w:r>
      <w:r w:rsidR="009C2E20">
        <w:rPr>
          <w:rFonts w:ascii="Times New Roman" w:hAnsi="Times New Roman" w:cs="Times New Roman"/>
          <w:sz w:val="26"/>
          <w:szCs w:val="26"/>
        </w:rPr>
        <w:t>вливается на уровне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 (25 баллов). Распределение стимулирующих выплат утверждается приказом заведующего, на основании которого осуществляются ежемесячные выплаты.</w:t>
      </w:r>
    </w:p>
    <w:p w:rsid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EF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E7EF8">
        <w:rPr>
          <w:rFonts w:ascii="Times New Roman" w:hAnsi="Times New Roman" w:cs="Times New Roman"/>
          <w:b/>
          <w:sz w:val="26"/>
          <w:szCs w:val="26"/>
        </w:rPr>
        <w:t>. Порядок установления стимулирующих выплат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 xml:space="preserve">К участию в конкурсе на получение стимулирующей надбавки допускаются члены коллектива, проработавшие не менее 6 месяцев в </w:t>
      </w:r>
      <w:r w:rsidR="009C2E20">
        <w:rPr>
          <w:rFonts w:ascii="Times New Roman" w:hAnsi="Times New Roman" w:cs="Times New Roman"/>
          <w:sz w:val="26"/>
          <w:szCs w:val="26"/>
        </w:rPr>
        <w:t>учреждении</w:t>
      </w:r>
      <w:r w:rsidRPr="008E7EF8">
        <w:rPr>
          <w:rFonts w:ascii="Times New Roman" w:hAnsi="Times New Roman" w:cs="Times New Roman"/>
          <w:sz w:val="26"/>
          <w:szCs w:val="26"/>
        </w:rPr>
        <w:t>, без предъявления требований к стажу работы.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 xml:space="preserve">Основанием </w:t>
      </w:r>
      <w:proofErr w:type="gramStart"/>
      <w:r w:rsidRPr="008E7EF8">
        <w:rPr>
          <w:rFonts w:ascii="Times New Roman" w:hAnsi="Times New Roman" w:cs="Times New Roman"/>
          <w:sz w:val="26"/>
          <w:szCs w:val="26"/>
        </w:rPr>
        <w:t>рассмотрения результатов де</w:t>
      </w:r>
      <w:r w:rsidR="009C2E20">
        <w:rPr>
          <w:rFonts w:ascii="Times New Roman" w:hAnsi="Times New Roman" w:cs="Times New Roman"/>
          <w:sz w:val="26"/>
          <w:szCs w:val="26"/>
        </w:rPr>
        <w:t>ятельности работника учреждения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 xml:space="preserve"> для установления стимулирующих выплат является его личное обращение (заявление).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>Основными принципами оценки д</w:t>
      </w:r>
      <w:r w:rsidR="009C2E20">
        <w:rPr>
          <w:rFonts w:ascii="Times New Roman" w:hAnsi="Times New Roman" w:cs="Times New Roman"/>
          <w:sz w:val="26"/>
          <w:szCs w:val="26"/>
        </w:rPr>
        <w:t>остижений работников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E7EF8">
        <w:rPr>
          <w:rFonts w:ascii="Times New Roman" w:hAnsi="Times New Roman" w:cs="Times New Roman"/>
          <w:sz w:val="26"/>
          <w:szCs w:val="26"/>
        </w:rPr>
        <w:t>единые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 xml:space="preserve"> процедура и технология оценивания;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7EF8">
        <w:rPr>
          <w:rFonts w:ascii="Times New Roman" w:hAnsi="Times New Roman" w:cs="Times New Roman"/>
          <w:sz w:val="26"/>
          <w:szCs w:val="26"/>
        </w:rPr>
        <w:t>достоверность используемых данных;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7EF8">
        <w:rPr>
          <w:rFonts w:ascii="Times New Roman" w:hAnsi="Times New Roman" w:cs="Times New Roman"/>
          <w:sz w:val="26"/>
          <w:szCs w:val="26"/>
        </w:rPr>
        <w:t>соблюдение морально-этических норм при сборе и оценивании предоставляемой информации.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2E20">
        <w:rPr>
          <w:rFonts w:ascii="Times New Roman" w:hAnsi="Times New Roman" w:cs="Times New Roman"/>
          <w:sz w:val="26"/>
          <w:szCs w:val="26"/>
        </w:rPr>
        <w:t>.4. Работник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, претендующий на установление стимулирующих выплат (далее - Претендент) осуществляет самоанализ профессиональной деятельности в соответствии с утвержденными критериями, проставляет баллы самооценки и подаёт в экспертную комиссию </w:t>
      </w:r>
      <w:r w:rsidR="009C2E20">
        <w:rPr>
          <w:rFonts w:ascii="Times New Roman" w:hAnsi="Times New Roman" w:cs="Times New Roman"/>
          <w:sz w:val="26"/>
          <w:szCs w:val="26"/>
        </w:rPr>
        <w:t>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 подтверждающие документы.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 xml:space="preserve">.5. Каждому критерию присвоено определенное максимальное количество баллов, которые утверждаются в соответствии с образовательной программой образовательного учреждения. 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 xml:space="preserve">.6. Численный состав претендентов из числа педагогического персонала (далее - ПП) административно-управленческого персонала (далее - АУП), не ограничен.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>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EF8">
        <w:rPr>
          <w:rFonts w:ascii="Times New Roman" w:hAnsi="Times New Roman" w:cs="Times New Roman"/>
          <w:sz w:val="26"/>
          <w:szCs w:val="26"/>
        </w:rPr>
        <w:t xml:space="preserve">Экспертная комиссия, утвержденная приказом заведующего, рассматривает материалы по самоанализу деятельности претендента,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отказе.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>.8. На основании всех материалов экспертная комиссия составляет оценочный лист претендента в баллах и утверждает его на своем заседании.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 xml:space="preserve">.9. Претендент на получение стимулирующей части с момента ознакомления с оценочным листом в течение 3 дней вправе подать, а комиссия принять обоснованное письменное заявление о несогласии с оценкой его профессиональной деятельности. </w:t>
      </w:r>
      <w:r w:rsidRPr="008E7EF8">
        <w:rPr>
          <w:rFonts w:ascii="Times New Roman" w:hAnsi="Times New Roman" w:cs="Times New Roman"/>
          <w:sz w:val="26"/>
          <w:szCs w:val="26"/>
        </w:rPr>
        <w:lastRenderedPageBreak/>
        <w:t>Основанием для подачи такого заявления претендентом может быть только факт (факты) нарушения установленных процедур мониторинга, которые повлекли необъективную оценку его профессиональной деятельности. Апелляция работников по другим основаниям комиссией не принимается и не рассматривается.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>.10. Утвержденный экспертной комиссией сводный оценочный лист оформляется протоколом о распределении стимулирующей части фонда оплаты протокол напр</w:t>
      </w:r>
      <w:r w:rsidR="009C2E20">
        <w:rPr>
          <w:rFonts w:ascii="Times New Roman" w:hAnsi="Times New Roman" w:cs="Times New Roman"/>
          <w:sz w:val="26"/>
          <w:szCs w:val="26"/>
        </w:rPr>
        <w:t xml:space="preserve">авляется </w:t>
      </w:r>
      <w:proofErr w:type="gramStart"/>
      <w:r w:rsidR="009C2E20">
        <w:rPr>
          <w:rFonts w:ascii="Times New Roman" w:hAnsi="Times New Roman" w:cs="Times New Roman"/>
          <w:sz w:val="26"/>
          <w:szCs w:val="26"/>
        </w:rPr>
        <w:t>заведующему учреждения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>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2E20">
        <w:rPr>
          <w:rFonts w:ascii="Times New Roman" w:hAnsi="Times New Roman" w:cs="Times New Roman"/>
          <w:sz w:val="26"/>
          <w:szCs w:val="26"/>
        </w:rPr>
        <w:t xml:space="preserve">.11. </w:t>
      </w:r>
      <w:proofErr w:type="gramStart"/>
      <w:r w:rsidR="009C2E20">
        <w:rPr>
          <w:rFonts w:ascii="Times New Roman" w:hAnsi="Times New Roman" w:cs="Times New Roman"/>
          <w:sz w:val="26"/>
          <w:szCs w:val="26"/>
        </w:rPr>
        <w:t>Заведующий учреждения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>, рассматривает итоговый протокол, оценочные листы и согласовывает персональные размеры стимулирующих выплат претендентам.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>.12. Заведующий издаёт приказ об установлении стимулирующ</w:t>
      </w:r>
      <w:r w:rsidR="009C2E20">
        <w:rPr>
          <w:rFonts w:ascii="Times New Roman" w:hAnsi="Times New Roman" w:cs="Times New Roman"/>
          <w:sz w:val="26"/>
          <w:szCs w:val="26"/>
        </w:rPr>
        <w:t>их выплат работникам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 по результатам их профессиональной деятельности за отчётный период. Указанные выплаты производятся ежемесячно одновременно с выплатой заработ</w:t>
      </w:r>
      <w:r w:rsidR="009C2E20">
        <w:rPr>
          <w:rFonts w:ascii="Times New Roman" w:hAnsi="Times New Roman" w:cs="Times New Roman"/>
          <w:sz w:val="26"/>
          <w:szCs w:val="26"/>
        </w:rPr>
        <w:t>ной платы работникам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 xml:space="preserve">.13. При увольнении сотрудника фиксированные стимулирующие выплаты прекращаются; при увольнении сотрудника, получавшего выплаты согласно результатам критериев профессиональной деятельности за отчётный период, стимулирующие выплаты выплачиваются за все отработанные месяцы в соответствии с приказами на стимулирующие выплаты, исключая 1 месяц отпуска. 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E7EF8">
        <w:rPr>
          <w:rFonts w:ascii="Times New Roman" w:hAnsi="Times New Roman" w:cs="Times New Roman"/>
          <w:sz w:val="26"/>
          <w:szCs w:val="26"/>
        </w:rPr>
        <w:t>.14.Стимулирующие выплаты могут быть сняты или уменьшены работнику рук</w:t>
      </w:r>
      <w:r w:rsidR="009C2E20">
        <w:rPr>
          <w:rFonts w:ascii="Times New Roman" w:hAnsi="Times New Roman" w:cs="Times New Roman"/>
          <w:sz w:val="26"/>
          <w:szCs w:val="26"/>
        </w:rPr>
        <w:t>оводителем учреждения</w:t>
      </w:r>
      <w:r w:rsidRPr="008E7EF8">
        <w:rPr>
          <w:rFonts w:ascii="Times New Roman" w:hAnsi="Times New Roman" w:cs="Times New Roman"/>
          <w:sz w:val="26"/>
          <w:szCs w:val="26"/>
        </w:rPr>
        <w:t xml:space="preserve"> по согласованию с педагогическим советом в случае: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7EF8">
        <w:rPr>
          <w:rFonts w:ascii="Times New Roman" w:hAnsi="Times New Roman" w:cs="Times New Roman"/>
          <w:sz w:val="26"/>
          <w:szCs w:val="26"/>
        </w:rPr>
        <w:t>ухудшения качества и результативности профессиональной деятельности работника;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7EF8">
        <w:rPr>
          <w:rFonts w:ascii="Times New Roman" w:hAnsi="Times New Roman" w:cs="Times New Roman"/>
          <w:sz w:val="26"/>
          <w:szCs w:val="26"/>
        </w:rPr>
        <w:t>сотруднику, получившему дисциплинарное взыскание в форме замечания, выплаты производятся в размере 50% от суммы, установленной по результатам экспертной оценки;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7EF8">
        <w:rPr>
          <w:rFonts w:ascii="Times New Roman" w:hAnsi="Times New Roman" w:cs="Times New Roman"/>
          <w:sz w:val="26"/>
          <w:szCs w:val="26"/>
        </w:rPr>
        <w:t>сотруднику, получившему дисциплинарное взыскание в виде выговора или нескольких дисциплинарных взысканий, выплата ранее установленной стимулирующей выплаты может быть прекращена;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7EF8">
        <w:rPr>
          <w:rFonts w:ascii="Times New Roman" w:hAnsi="Times New Roman" w:cs="Times New Roman"/>
          <w:sz w:val="26"/>
          <w:szCs w:val="26"/>
        </w:rPr>
        <w:t xml:space="preserve">нарушения правил внутреннего трудового распорядка;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7EF8">
        <w:rPr>
          <w:rFonts w:ascii="Times New Roman" w:hAnsi="Times New Roman" w:cs="Times New Roman"/>
          <w:sz w:val="26"/>
          <w:szCs w:val="26"/>
        </w:rPr>
        <w:t xml:space="preserve">нарушения санитарно-эпидемиологического режима и техники безопасности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7EF8">
        <w:rPr>
          <w:rFonts w:ascii="Times New Roman" w:hAnsi="Times New Roman" w:cs="Times New Roman"/>
          <w:sz w:val="26"/>
          <w:szCs w:val="26"/>
        </w:rPr>
        <w:t xml:space="preserve">невыполнения должностных инструкций; 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7EF8">
        <w:rPr>
          <w:rFonts w:ascii="Times New Roman" w:hAnsi="Times New Roman" w:cs="Times New Roman"/>
          <w:sz w:val="26"/>
          <w:szCs w:val="26"/>
        </w:rPr>
        <w:t>наличия обоснованных письменных жалоб.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E7EF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E7EF8">
        <w:rPr>
          <w:rFonts w:ascii="Times New Roman" w:hAnsi="Times New Roman" w:cs="Times New Roman"/>
          <w:b/>
          <w:sz w:val="26"/>
          <w:szCs w:val="26"/>
        </w:rPr>
        <w:t>. Экономия фонда оплаты труда.</w:t>
      </w:r>
      <w:proofErr w:type="gramEnd"/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5.1. Экономия фонда оплаты труда, отнесенная на стимулирующую часть, может быть рас</w:t>
      </w:r>
      <w:r w:rsidR="009C2E20">
        <w:rPr>
          <w:rFonts w:ascii="Times New Roman" w:hAnsi="Times New Roman" w:cs="Times New Roman"/>
          <w:sz w:val="26"/>
          <w:szCs w:val="26"/>
        </w:rPr>
        <w:t xml:space="preserve">пределена </w:t>
      </w:r>
      <w:proofErr w:type="gramStart"/>
      <w:r w:rsidR="009C2E20">
        <w:rPr>
          <w:rFonts w:ascii="Times New Roman" w:hAnsi="Times New Roman" w:cs="Times New Roman"/>
          <w:sz w:val="26"/>
          <w:szCs w:val="26"/>
        </w:rPr>
        <w:t>заведующим учреждения</w:t>
      </w:r>
      <w:proofErr w:type="gramEnd"/>
      <w:r w:rsidRPr="008E7EF8">
        <w:rPr>
          <w:rFonts w:ascii="Times New Roman" w:hAnsi="Times New Roman" w:cs="Times New Roman"/>
          <w:sz w:val="26"/>
          <w:szCs w:val="26"/>
        </w:rPr>
        <w:t xml:space="preserve"> в виде единовременных стимулирующих выплат за образцовое качество выполняемых работ; за выполнение особо важных и срочных работ; за интенсивность и высокие результаты работы в конце финансового года.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EF8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8E7EF8">
        <w:rPr>
          <w:rFonts w:ascii="Times New Roman" w:hAnsi="Times New Roman" w:cs="Times New Roman"/>
          <w:b/>
          <w:sz w:val="26"/>
          <w:szCs w:val="26"/>
        </w:rPr>
        <w:t>. Порядок и срок действия положения.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6.1. Положение утверждается приказом заведующего.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6.2. Утвержденное положение действует в течение учебного года и пролонгируется, если нет изменений.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7EF8" w:rsidRPr="008E7EF8" w:rsidRDefault="008E7EF8" w:rsidP="009C2E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7EF8" w:rsidRPr="008E7EF8" w:rsidRDefault="008E7EF8" w:rsidP="008E7E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1.</w:t>
      </w:r>
    </w:p>
    <w:p w:rsidR="007761C4" w:rsidRPr="008E7EF8" w:rsidRDefault="008E7EF8" w:rsidP="008E7E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E7EF8">
        <w:rPr>
          <w:rFonts w:ascii="Times New Roman" w:hAnsi="Times New Roman" w:cs="Times New Roman"/>
          <w:b/>
          <w:sz w:val="28"/>
          <w:szCs w:val="26"/>
        </w:rPr>
        <w:t>Базовые размеры окладов (ставок) работников Организации</w:t>
      </w:r>
    </w:p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2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5954"/>
        <w:gridCol w:w="2505"/>
        <w:gridCol w:w="2033"/>
      </w:tblGrid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Базовый размер оклада (ставки), в рублях</w:t>
            </w:r>
          </w:p>
        </w:tc>
      </w:tr>
      <w:tr w:rsidR="008E7EF8" w:rsidRPr="008E7EF8" w:rsidTr="008E7EF8"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EF8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"Общеотраслевые должности служащих первого уровня"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делопроизводитель; другие должности, отнесенные к квалификационному уровню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11 200</w:t>
            </w:r>
          </w:p>
        </w:tc>
      </w:tr>
      <w:tr w:rsidR="008E7EF8" w:rsidRPr="008E7EF8" w:rsidTr="008E7EF8"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EF8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"Общеотраслевые должности служащих второго уровня"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EF8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заведующий складом; заведующий хозяйством;</w:t>
            </w:r>
          </w:p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наименование "старший", другие должности, отнесенные к квалификационному уровню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11 400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заведующий производством (шеф-повар); другие должности, отнесенные к квалификационному уровню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11 600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</w:tr>
      <w:tr w:rsidR="008E7EF8" w:rsidRPr="008E7EF8" w:rsidTr="008E7EF8"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EF8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"Общеотраслевые должности служащих третьего уровня"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бухгалтер; другие должности, отнесенные к квалификационному уровню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12 200</w:t>
            </w:r>
          </w:p>
        </w:tc>
      </w:tr>
      <w:tr w:rsidR="008E7EF8" w:rsidRPr="008E7EF8" w:rsidTr="008E7EF8"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EF8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"Должности работников учебно-вспомогательного персонала первого уровня"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воспитателя;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11 100</w:t>
            </w:r>
          </w:p>
        </w:tc>
      </w:tr>
      <w:tr w:rsidR="008E7EF8" w:rsidRPr="008E7EF8" w:rsidTr="008E7EF8"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EF8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"Должности педагогических работников"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инструктор по физической культуре; музыкальный руководитель;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13 200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воспитатель; педагог-психолог;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13 600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преподаватель; старший воспитатель; учитель-логопед (логопед)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13 740</w:t>
            </w:r>
          </w:p>
        </w:tc>
      </w:tr>
      <w:tr w:rsidR="008E7EF8" w:rsidRPr="008E7EF8" w:rsidTr="008E7EF8"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EF8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"Средний медицинский и фармацевтический персонал"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14 260</w:t>
            </w:r>
          </w:p>
        </w:tc>
      </w:tr>
      <w:tr w:rsidR="008E7EF8" w:rsidRPr="008E7EF8" w:rsidTr="008E7EF8"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EF8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"Общеотраслевые профессии рабочих первого уровня"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дворник; кастелянша; кладовщик; сторож (вахтер); уборщик служебных (производственных) помещений; кухонный работник; прачка; рабочий по комплексному обслуживанию и ремонту зданий и иные 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10 900</w:t>
            </w:r>
          </w:p>
        </w:tc>
      </w:tr>
      <w:tr w:rsidR="008E7EF8" w:rsidRPr="008E7EF8" w:rsidTr="008E7EF8"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EF8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b/>
                <w:sz w:val="26"/>
                <w:szCs w:val="26"/>
              </w:rPr>
              <w:t>"Общеотраслевые профессии рабочих второго уровня"</w:t>
            </w:r>
          </w:p>
        </w:tc>
      </w:tr>
      <w:tr w:rsidR="008E7EF8" w:rsidRPr="008E7EF8" w:rsidTr="008E7EF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 xml:space="preserve">слесарь-сантехник, электрик,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6C67" w:rsidRPr="008E7EF8" w:rsidRDefault="008E7EF8" w:rsidP="008E7E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C67" w:rsidRPr="008E7EF8" w:rsidRDefault="008E7EF8" w:rsidP="008E7EF8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F8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</w:tr>
    </w:tbl>
    <w:p w:rsidR="008E7EF8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7EF8" w:rsidRPr="008E7EF8" w:rsidRDefault="008E7EF8" w:rsidP="008E7EF8">
      <w:pPr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Приложение 2</w:t>
      </w:r>
      <w:r w:rsidRPr="008E7EF8">
        <w:rPr>
          <w:rFonts w:ascii="Times New Roman" w:hAnsi="Times New Roman" w:cs="Times New Roman"/>
          <w:sz w:val="26"/>
          <w:szCs w:val="26"/>
        </w:rPr>
        <w:br/>
      </w:r>
    </w:p>
    <w:p w:rsidR="008E7EF8" w:rsidRPr="008E7EF8" w:rsidRDefault="008E7EF8" w:rsidP="008E7EF8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E7EF8">
        <w:rPr>
          <w:rFonts w:ascii="Times New Roman" w:hAnsi="Times New Roman" w:cs="Times New Roman"/>
          <w:sz w:val="26"/>
          <w:szCs w:val="26"/>
        </w:rPr>
        <w:t>ПЕРЕЧЕНЬ ДОЛЖНОСТЕЙ, ПРОФЕССИЙ РАБОТНИКОВ, ОТНОСЯЩИХСЯ К ОСНОВНОМУ ПЕРСОНАЛУ</w:t>
      </w:r>
    </w:p>
    <w:p w:rsidR="008E7EF8" w:rsidRPr="008E7EF8" w:rsidRDefault="008E7EF8" w:rsidP="008E7EF8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2B3132" w:rsidRPr="008E7EF8" w:rsidRDefault="008E7EF8" w:rsidP="008E7EF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Pr="008E7EF8">
        <w:rPr>
          <w:rFonts w:ascii="Times New Roman" w:hAnsi="Times New Roman" w:cs="Times New Roman"/>
          <w:sz w:val="26"/>
          <w:szCs w:val="26"/>
        </w:rPr>
        <w:t>читель-логопед (логопед); педагог-психолог; воспитатель (включая старшего); музыкальный руководитель; руководитель физического воспитания; инструктор по физической культуре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2B3132" w:rsidRPr="008E7EF8" w:rsidSect="008E7EF8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A97"/>
    <w:multiLevelType w:val="multilevel"/>
    <w:tmpl w:val="0C5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757B4"/>
    <w:multiLevelType w:val="hybridMultilevel"/>
    <w:tmpl w:val="A7947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46CD9"/>
    <w:multiLevelType w:val="multilevel"/>
    <w:tmpl w:val="3C2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A68E8"/>
    <w:multiLevelType w:val="multilevel"/>
    <w:tmpl w:val="A79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9472C"/>
    <w:multiLevelType w:val="multilevel"/>
    <w:tmpl w:val="55F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87970"/>
    <w:multiLevelType w:val="multilevel"/>
    <w:tmpl w:val="105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1286A"/>
    <w:multiLevelType w:val="multilevel"/>
    <w:tmpl w:val="52CA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81642"/>
    <w:multiLevelType w:val="hybridMultilevel"/>
    <w:tmpl w:val="AE4C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57938"/>
    <w:multiLevelType w:val="multilevel"/>
    <w:tmpl w:val="353C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271E4"/>
    <w:multiLevelType w:val="multilevel"/>
    <w:tmpl w:val="1C62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7528F"/>
    <w:multiLevelType w:val="hybridMultilevel"/>
    <w:tmpl w:val="F218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0125E5"/>
    <w:multiLevelType w:val="hybridMultilevel"/>
    <w:tmpl w:val="D6AE6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170BDA"/>
    <w:multiLevelType w:val="multilevel"/>
    <w:tmpl w:val="A6A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C4"/>
    <w:rsid w:val="000469F3"/>
    <w:rsid w:val="001655E3"/>
    <w:rsid w:val="001D1C18"/>
    <w:rsid w:val="00216674"/>
    <w:rsid w:val="00454632"/>
    <w:rsid w:val="0053437D"/>
    <w:rsid w:val="005C7A19"/>
    <w:rsid w:val="005D6709"/>
    <w:rsid w:val="007761C4"/>
    <w:rsid w:val="007819C5"/>
    <w:rsid w:val="008C76B9"/>
    <w:rsid w:val="008E7EF8"/>
    <w:rsid w:val="009C2E20"/>
    <w:rsid w:val="009D7BEE"/>
    <w:rsid w:val="00A80C94"/>
    <w:rsid w:val="00A84DFE"/>
    <w:rsid w:val="00CC5D3C"/>
    <w:rsid w:val="00CE2B94"/>
    <w:rsid w:val="00E575E5"/>
    <w:rsid w:val="00FA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761C4"/>
  </w:style>
  <w:style w:type="character" w:customStyle="1" w:styleId="sfwc">
    <w:name w:val="sfwc"/>
    <w:basedOn w:val="a0"/>
    <w:rsid w:val="007761C4"/>
  </w:style>
  <w:style w:type="character" w:customStyle="1" w:styleId="tooltiptext">
    <w:name w:val="tooltip_text"/>
    <w:basedOn w:val="a0"/>
    <w:rsid w:val="007761C4"/>
  </w:style>
  <w:style w:type="character" w:styleId="a4">
    <w:name w:val="Hyperlink"/>
    <w:basedOn w:val="a0"/>
    <w:uiPriority w:val="99"/>
    <w:unhideWhenUsed/>
    <w:rsid w:val="007761C4"/>
    <w:rPr>
      <w:color w:val="0000FF"/>
      <w:u w:val="single"/>
    </w:rPr>
  </w:style>
  <w:style w:type="character" w:styleId="a5">
    <w:name w:val="Strong"/>
    <w:basedOn w:val="a0"/>
    <w:uiPriority w:val="22"/>
    <w:qFormat/>
    <w:rsid w:val="007761C4"/>
    <w:rPr>
      <w:b/>
      <w:bCs/>
    </w:rPr>
  </w:style>
  <w:style w:type="paragraph" w:customStyle="1" w:styleId="formattext">
    <w:name w:val="formattext"/>
    <w:basedOn w:val="a"/>
    <w:rsid w:val="008E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7E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7E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E7E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E7E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064817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202453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2023-08-28T16:18:00Z</dcterms:created>
  <dcterms:modified xsi:type="dcterms:W3CDTF">2023-08-28T16:18:00Z</dcterms:modified>
</cp:coreProperties>
</file>